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746A3" w14:textId="78451EA7" w:rsidR="004E710F" w:rsidRDefault="004E710F">
      <w:pPr>
        <w:spacing w:after="80"/>
        <w:jc w:val="center"/>
        <w:rPr>
          <w:rFonts w:ascii="Arial" w:eastAsia="Arial" w:hAnsi="Arial" w:cs="Arial"/>
          <w:b/>
          <w:bCs/>
          <w:color w:val="1F3F72"/>
          <w:spacing w:val="40"/>
          <w:sz w:val="16"/>
          <w:szCs w:val="16"/>
        </w:rPr>
      </w:pPr>
      <w:r>
        <w:rPr>
          <w:rFonts w:ascii="Arial" w:eastAsia="Arial" w:hAnsi="Arial" w:cs="Arial"/>
          <w:b/>
          <w:bCs/>
          <w:noProof/>
          <w:color w:val="1F3F72"/>
          <w:spacing w:val="40"/>
          <w:sz w:val="16"/>
          <w:szCs w:val="16"/>
        </w:rPr>
        <w:drawing>
          <wp:inline distT="0" distB="0" distL="0" distR="0" wp14:anchorId="0EB5E6F4" wp14:editId="1404A3E8">
            <wp:extent cx="2659380" cy="706742"/>
            <wp:effectExtent l="0" t="0" r="0" b="0"/>
            <wp:docPr id="994701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701226" name="Picture 994701226"/>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99117" cy="717302"/>
                    </a:xfrm>
                    <a:prstGeom prst="rect">
                      <a:avLst/>
                    </a:prstGeom>
                  </pic:spPr>
                </pic:pic>
              </a:graphicData>
            </a:graphic>
          </wp:inline>
        </w:drawing>
      </w:r>
    </w:p>
    <w:p w14:paraId="2102B655" w14:textId="0BF677D5" w:rsidR="000A781C" w:rsidRDefault="004E710F">
      <w:pPr>
        <w:spacing w:after="80"/>
        <w:jc w:val="center"/>
      </w:pPr>
      <w:r>
        <w:rPr>
          <w:rFonts w:ascii="Arial" w:eastAsia="Arial" w:hAnsi="Arial" w:cs="Arial"/>
          <w:b/>
          <w:bCs/>
          <w:color w:val="1F3F72"/>
          <w:spacing w:val="40"/>
          <w:sz w:val="16"/>
          <w:szCs w:val="16"/>
        </w:rPr>
        <w:t xml:space="preserve">NOVEMBER 4–6, </w:t>
      </w:r>
      <w:proofErr w:type="gramStart"/>
      <w:r>
        <w:rPr>
          <w:rFonts w:ascii="Arial" w:eastAsia="Arial" w:hAnsi="Arial" w:cs="Arial"/>
          <w:b/>
          <w:bCs/>
          <w:color w:val="1F3F72"/>
          <w:spacing w:val="40"/>
          <w:sz w:val="16"/>
          <w:szCs w:val="16"/>
        </w:rPr>
        <w:t>2026  ·</w:t>
      </w:r>
      <w:proofErr w:type="gramEnd"/>
      <w:r>
        <w:rPr>
          <w:rFonts w:ascii="Arial" w:eastAsia="Arial" w:hAnsi="Arial" w:cs="Arial"/>
          <w:b/>
          <w:bCs/>
          <w:color w:val="1F3F72"/>
          <w:spacing w:val="40"/>
          <w:sz w:val="16"/>
          <w:szCs w:val="16"/>
        </w:rPr>
        <w:t xml:space="preserve">  SAN DIEGO, CA</w:t>
      </w:r>
    </w:p>
    <w:p w14:paraId="0019A7D6" w14:textId="77777777" w:rsidR="000A781C" w:rsidRDefault="000A781C">
      <w:pPr>
        <w:pBdr>
          <w:bottom w:val="single" w:sz="6" w:space="1" w:color="1F3F72"/>
        </w:pBdr>
        <w:spacing w:after="160"/>
      </w:pPr>
    </w:p>
    <w:p w14:paraId="73485EC2" w14:textId="77777777" w:rsidR="000A781C" w:rsidRDefault="004E710F">
      <w:pPr>
        <w:spacing w:after="240"/>
      </w:pPr>
      <w:r>
        <w:rPr>
          <w:rFonts w:ascii="Arial" w:eastAsia="Arial" w:hAnsi="Arial" w:cs="Arial"/>
          <w:b/>
          <w:bCs/>
          <w:color w:val="EBB03C"/>
        </w:rPr>
        <w:t>[[Date]]</w:t>
      </w:r>
    </w:p>
    <w:p w14:paraId="3A682427" w14:textId="095FCBC6" w:rsidR="000A781C" w:rsidRDefault="004E710F">
      <w:pPr>
        <w:spacing w:after="100"/>
      </w:pPr>
      <w:r>
        <w:rPr>
          <w:rFonts w:ascii="Arial" w:eastAsia="Arial" w:hAnsi="Arial" w:cs="Arial"/>
          <w:b/>
          <w:bCs/>
          <w:sz w:val="22"/>
          <w:szCs w:val="22"/>
        </w:rPr>
        <w:t xml:space="preserve">To:  </w:t>
      </w:r>
      <w:r>
        <w:rPr>
          <w:rFonts w:ascii="Arial" w:eastAsia="Arial" w:hAnsi="Arial" w:cs="Arial"/>
          <w:b/>
          <w:bCs/>
          <w:sz w:val="22"/>
          <w:szCs w:val="22"/>
        </w:rPr>
        <w:tab/>
      </w:r>
      <w:r>
        <w:rPr>
          <w:rFonts w:ascii="Arial" w:eastAsia="Arial" w:hAnsi="Arial" w:cs="Arial"/>
          <w:b/>
          <w:bCs/>
          <w:color w:val="EBB03C"/>
        </w:rPr>
        <w:t>[[Manager / Principal / Budget Approver Name and Title]]</w:t>
      </w:r>
    </w:p>
    <w:p w14:paraId="483FAE08" w14:textId="77777777" w:rsidR="000A781C" w:rsidRDefault="004E710F">
      <w:pPr>
        <w:spacing w:after="100"/>
      </w:pPr>
      <w:r>
        <w:rPr>
          <w:rFonts w:ascii="Arial" w:eastAsia="Arial" w:hAnsi="Arial" w:cs="Arial"/>
          <w:b/>
          <w:bCs/>
          <w:sz w:val="22"/>
          <w:szCs w:val="22"/>
        </w:rPr>
        <w:t>From</w:t>
      </w:r>
      <w:proofErr w:type="gramStart"/>
      <w:r>
        <w:rPr>
          <w:rFonts w:ascii="Arial" w:eastAsia="Arial" w:hAnsi="Arial" w:cs="Arial"/>
          <w:b/>
          <w:bCs/>
          <w:sz w:val="22"/>
          <w:szCs w:val="22"/>
        </w:rPr>
        <w:t xml:space="preserve">:  </w:t>
      </w:r>
      <w:r>
        <w:rPr>
          <w:rFonts w:ascii="Arial" w:eastAsia="Arial" w:hAnsi="Arial" w:cs="Arial"/>
          <w:b/>
          <w:bCs/>
          <w:color w:val="EBB03C"/>
        </w:rPr>
        <w:t>[</w:t>
      </w:r>
      <w:proofErr w:type="gramEnd"/>
      <w:r>
        <w:rPr>
          <w:rFonts w:ascii="Arial" w:eastAsia="Arial" w:hAnsi="Arial" w:cs="Arial"/>
          <w:b/>
          <w:bCs/>
          <w:color w:val="EBB03C"/>
        </w:rPr>
        <w:t>[Your Name, Title]]</w:t>
      </w:r>
    </w:p>
    <w:p w14:paraId="4E0435C8" w14:textId="77777777" w:rsidR="000A781C" w:rsidRDefault="004E710F">
      <w:pPr>
        <w:spacing w:after="240"/>
      </w:pPr>
      <w:r>
        <w:rPr>
          <w:rFonts w:ascii="Arial" w:eastAsia="Arial" w:hAnsi="Arial" w:cs="Arial"/>
          <w:b/>
          <w:bCs/>
          <w:sz w:val="22"/>
          <w:szCs w:val="22"/>
        </w:rPr>
        <w:t xml:space="preserve">Re:  </w:t>
      </w:r>
      <w:r>
        <w:rPr>
          <w:rFonts w:ascii="Arial" w:eastAsia="Arial" w:hAnsi="Arial" w:cs="Arial"/>
          <w:sz w:val="22"/>
          <w:szCs w:val="22"/>
        </w:rPr>
        <w:t>Request for Approval to Attend the P3 Higher Education Summit, November 4–6, 2026, San Diego, CA</w:t>
      </w:r>
    </w:p>
    <w:p w14:paraId="1290216F" w14:textId="77777777" w:rsidR="000A781C" w:rsidRDefault="000A781C">
      <w:pPr>
        <w:pBdr>
          <w:bottom w:val="single" w:sz="6" w:space="1" w:color="1F3F72"/>
        </w:pBdr>
        <w:spacing w:after="160"/>
      </w:pPr>
    </w:p>
    <w:p w14:paraId="3E5F68C1" w14:textId="77777777" w:rsidR="000A781C" w:rsidRDefault="004E710F">
      <w:pPr>
        <w:spacing w:after="160"/>
      </w:pPr>
      <w:r>
        <w:rPr>
          <w:rFonts w:ascii="Arial" w:eastAsia="Arial" w:hAnsi="Arial" w:cs="Arial"/>
          <w:sz w:val="22"/>
          <w:szCs w:val="22"/>
        </w:rPr>
        <w:t xml:space="preserve">I am writing to request approval to attend the P3 Higher Education Summit, November 4–6, 2026, at the Manchester Grand Hyatt in San Diego, California. This is the only national conference dedicated to public-private partnership (P3) delivery of campus infrastructure — and the primary gathering of university CFOs, VPs for Facilities, real estate directors, and procurement officers who are actively planning the next generation of campus projects. For </w:t>
      </w:r>
      <w:r>
        <w:rPr>
          <w:rFonts w:ascii="Arial" w:eastAsia="Arial" w:hAnsi="Arial" w:cs="Arial"/>
          <w:b/>
          <w:bCs/>
          <w:color w:val="EBB03C"/>
        </w:rPr>
        <w:t>[[Firm/Organization Name]]</w:t>
      </w:r>
      <w:r>
        <w:rPr>
          <w:rFonts w:ascii="Arial" w:eastAsia="Arial" w:hAnsi="Arial" w:cs="Arial"/>
          <w:sz w:val="22"/>
          <w:szCs w:val="22"/>
        </w:rPr>
        <w:t>, attendance is a direct investment in our higher education pipeline.</w:t>
      </w:r>
    </w:p>
    <w:p w14:paraId="6D428E40" w14:textId="77777777" w:rsidR="000A781C" w:rsidRDefault="000A781C">
      <w:pPr>
        <w:spacing w:after="120"/>
      </w:pPr>
    </w:p>
    <w:p w14:paraId="2D581ACC" w14:textId="77777777" w:rsidR="000A781C" w:rsidRDefault="004E710F">
      <w:pPr>
        <w:spacing w:after="120"/>
      </w:pPr>
      <w:r>
        <w:rPr>
          <w:rFonts w:ascii="Arial" w:eastAsia="Arial" w:hAnsi="Arial" w:cs="Arial"/>
          <w:b/>
          <w:bCs/>
          <w:color w:val="1F3F72"/>
          <w:sz w:val="24"/>
          <w:szCs w:val="24"/>
        </w:rPr>
        <w:t>The Business Case for Attending</w:t>
      </w:r>
    </w:p>
    <w:p w14:paraId="2808CD2B" w14:textId="77777777" w:rsidR="000A781C" w:rsidRDefault="004E710F">
      <w:pPr>
        <w:spacing w:after="160"/>
      </w:pPr>
      <w:r>
        <w:rPr>
          <w:rFonts w:ascii="Arial" w:eastAsia="Arial" w:hAnsi="Arial" w:cs="Arial"/>
          <w:sz w:val="22"/>
          <w:szCs w:val="22"/>
        </w:rPr>
        <w:t>The P3 Higher Education Summit is where procurement decisions take shape before the RFP is written. University decision-makers attend specifically to evaluate partners, understand delivery options, and build relationships with firms they trust. The conversations that happen across 2.5 days of sessions, roundtables, and receptions are the ones that lead to introductions, referrals, and eventual selection.</w:t>
      </w:r>
    </w:p>
    <w:p w14:paraId="74B3A1EA" w14:textId="77777777" w:rsidR="000A781C" w:rsidRDefault="004E710F">
      <w:pPr>
        <w:spacing w:after="240"/>
      </w:pPr>
      <w:r>
        <w:rPr>
          <w:rFonts w:ascii="Arial" w:eastAsia="Arial" w:hAnsi="Arial" w:cs="Arial"/>
          <w:sz w:val="22"/>
          <w:szCs w:val="22"/>
        </w:rPr>
        <w:t xml:space="preserve">Our firm is currently focused on </w:t>
      </w:r>
      <w:r>
        <w:rPr>
          <w:rFonts w:ascii="Arial" w:eastAsia="Arial" w:hAnsi="Arial" w:cs="Arial"/>
          <w:b/>
          <w:bCs/>
          <w:color w:val="EBB03C"/>
        </w:rPr>
        <w:t>[[describe target market, project type, or institutional clients]]</w:t>
      </w:r>
      <w:r>
        <w:rPr>
          <w:rFonts w:ascii="Arial" w:eastAsia="Arial" w:hAnsi="Arial" w:cs="Arial"/>
          <w:sz w:val="22"/>
          <w:szCs w:val="22"/>
        </w:rPr>
        <w:t>. Attending the Summit gives us direct access to the university leaders most relevant to that work — in a context designed for substantive conversation, not cold outreach.</w:t>
      </w:r>
    </w:p>
    <w:p w14:paraId="2A579029" w14:textId="77777777" w:rsidR="000A781C" w:rsidRDefault="004E710F">
      <w:pPr>
        <w:spacing w:after="120"/>
      </w:pPr>
      <w:r>
        <w:rPr>
          <w:rFonts w:ascii="Arial" w:eastAsia="Arial" w:hAnsi="Arial" w:cs="Arial"/>
          <w:b/>
          <w:bCs/>
          <w:color w:val="1F3F72"/>
          <w:sz w:val="24"/>
          <w:szCs w:val="24"/>
        </w:rPr>
        <w:t>Specific Value to Our Practice</w:t>
      </w:r>
    </w:p>
    <w:p w14:paraId="7C423C00" w14:textId="77777777" w:rsidR="000A781C" w:rsidRDefault="004E710F">
      <w:pPr>
        <w:spacing w:before="60" w:after="100"/>
        <w:ind w:left="360"/>
      </w:pPr>
      <w:r>
        <w:rPr>
          <w:rFonts w:ascii="Arial" w:eastAsia="Arial" w:hAnsi="Arial" w:cs="Arial"/>
          <w:b/>
          <w:bCs/>
          <w:sz w:val="22"/>
          <w:szCs w:val="22"/>
        </w:rPr>
        <w:t>Pre-RFP relationship building.</w:t>
      </w:r>
      <w:r>
        <w:rPr>
          <w:rFonts w:ascii="Arial" w:eastAsia="Arial" w:hAnsi="Arial" w:cs="Arial"/>
          <w:sz w:val="22"/>
          <w:szCs w:val="22"/>
        </w:rPr>
        <w:t xml:space="preserve">  University procurement moves slowly. Firms that are known and trusted before an RFP is issued are in a fundamentally stronger competitive position. The Summit is the most efficient single event for building those relationships.</w:t>
      </w:r>
    </w:p>
    <w:p w14:paraId="1404B44E" w14:textId="77777777" w:rsidR="000A781C" w:rsidRDefault="004E710F">
      <w:pPr>
        <w:spacing w:after="100"/>
        <w:ind w:left="360"/>
      </w:pPr>
      <w:r>
        <w:rPr>
          <w:rFonts w:ascii="Arial" w:eastAsia="Arial" w:hAnsi="Arial" w:cs="Arial"/>
          <w:b/>
          <w:bCs/>
          <w:sz w:val="22"/>
          <w:szCs w:val="22"/>
        </w:rPr>
        <w:t>Scheduled 1-on-1 meetings.</w:t>
      </w:r>
      <w:r>
        <w:rPr>
          <w:rFonts w:ascii="Arial" w:eastAsia="Arial" w:hAnsi="Arial" w:cs="Arial"/>
          <w:sz w:val="22"/>
          <w:szCs w:val="22"/>
        </w:rPr>
        <w:t xml:space="preserve">  The conference mobile app goes live four months before the event, allowing us to pre-schedule meetings with university leaders most relevant to our pipeline. We arrive Day One with a full calendar — not a business card stack.</w:t>
      </w:r>
    </w:p>
    <w:p w14:paraId="1385C1D2" w14:textId="77777777" w:rsidR="000A781C" w:rsidRDefault="004E710F">
      <w:pPr>
        <w:spacing w:after="100"/>
        <w:ind w:left="360"/>
      </w:pPr>
      <w:r>
        <w:rPr>
          <w:rFonts w:ascii="Arial" w:eastAsia="Arial" w:hAnsi="Arial" w:cs="Arial"/>
          <w:b/>
          <w:bCs/>
          <w:sz w:val="22"/>
          <w:szCs w:val="22"/>
        </w:rPr>
        <w:t>Deal structure and market intelligence.</w:t>
      </w:r>
      <w:r>
        <w:rPr>
          <w:rFonts w:ascii="Arial" w:eastAsia="Arial" w:hAnsi="Arial" w:cs="Arial"/>
          <w:sz w:val="22"/>
          <w:szCs w:val="22"/>
        </w:rPr>
        <w:t xml:space="preserve">  Three focused content tracks — Housing; Campus Infrastructure; and Transforming the Campus Footprint — give us current intelligence on how university clients are structuring deals, what financing models are gaining traction, and what project types are in the pipeline nationally.</w:t>
      </w:r>
    </w:p>
    <w:p w14:paraId="0D695295" w14:textId="77777777" w:rsidR="000A781C" w:rsidRDefault="004E710F">
      <w:pPr>
        <w:spacing w:after="100"/>
        <w:ind w:left="360"/>
      </w:pPr>
      <w:r>
        <w:rPr>
          <w:rFonts w:ascii="Arial" w:eastAsia="Arial" w:hAnsi="Arial" w:cs="Arial"/>
          <w:b/>
          <w:bCs/>
          <w:sz w:val="22"/>
          <w:szCs w:val="22"/>
        </w:rPr>
        <w:lastRenderedPageBreak/>
        <w:t>Competitive positioning.</w:t>
      </w:r>
      <w:r>
        <w:rPr>
          <w:rFonts w:ascii="Arial" w:eastAsia="Arial" w:hAnsi="Arial" w:cs="Arial"/>
          <w:sz w:val="22"/>
          <w:szCs w:val="22"/>
        </w:rPr>
        <w:t xml:space="preserve">  Our competitors will be in San Diego. Presence — through attendance, participation, and pre-scheduled meetings — signals commitment to the market and keeps us visible with clients who make long-cycle decisions.</w:t>
      </w:r>
    </w:p>
    <w:p w14:paraId="1C91E7F0" w14:textId="77777777" w:rsidR="000A781C" w:rsidRDefault="004E710F">
      <w:pPr>
        <w:spacing w:after="240"/>
        <w:ind w:left="360"/>
      </w:pPr>
      <w:r>
        <w:rPr>
          <w:rFonts w:ascii="Arial" w:eastAsia="Arial" w:hAnsi="Arial" w:cs="Arial"/>
          <w:b/>
          <w:bCs/>
          <w:sz w:val="22"/>
          <w:szCs w:val="22"/>
        </w:rPr>
        <w:t>Client-side perspective.</w:t>
      </w:r>
      <w:r>
        <w:rPr>
          <w:rFonts w:ascii="Arial" w:eastAsia="Arial" w:hAnsi="Arial" w:cs="Arial"/>
          <w:sz w:val="22"/>
          <w:szCs w:val="22"/>
        </w:rPr>
        <w:t xml:space="preserve">  University leaders are frank about what they value and what frustrates them in private sector partners. Sessions where clients speak openly about procurement experience, RFP criteria, and partner selection give us insight that is difficult to obtain any other way.</w:t>
      </w:r>
    </w:p>
    <w:p w14:paraId="247B9271" w14:textId="77777777" w:rsidR="000A781C" w:rsidRDefault="004E710F">
      <w:pPr>
        <w:spacing w:after="120"/>
      </w:pPr>
      <w:r>
        <w:rPr>
          <w:rFonts w:ascii="Arial" w:eastAsia="Arial" w:hAnsi="Arial" w:cs="Arial"/>
          <w:b/>
          <w:bCs/>
          <w:color w:val="1F3F72"/>
          <w:sz w:val="24"/>
          <w:szCs w:val="24"/>
        </w:rPr>
        <w:t>Return on Investment</w:t>
      </w:r>
    </w:p>
    <w:p w14:paraId="33ADD1FE" w14:textId="77777777" w:rsidR="000A781C" w:rsidRDefault="004E710F">
      <w:pPr>
        <w:spacing w:after="240"/>
      </w:pPr>
      <w:r>
        <w:rPr>
          <w:rFonts w:ascii="Arial" w:eastAsia="Arial" w:hAnsi="Arial" w:cs="Arial"/>
          <w:sz w:val="22"/>
          <w:szCs w:val="22"/>
        </w:rPr>
        <w:t xml:space="preserve">A single meaningful introduction to a university exploring a </w:t>
      </w:r>
      <w:r>
        <w:rPr>
          <w:rFonts w:ascii="Arial" w:eastAsia="Arial" w:hAnsi="Arial" w:cs="Arial"/>
          <w:b/>
          <w:bCs/>
          <w:color w:val="EBB03C"/>
        </w:rPr>
        <w:t>[[$X million]]</w:t>
      </w:r>
      <w:r>
        <w:rPr>
          <w:rFonts w:ascii="Arial" w:eastAsia="Arial" w:hAnsi="Arial" w:cs="Arial"/>
          <w:sz w:val="22"/>
          <w:szCs w:val="22"/>
        </w:rPr>
        <w:t xml:space="preserve"> P3 transaction would return multiples of the total cost of attendance. The registration fee, travel, and lodging together represent a fraction of the business development cost of identifying and reaching the same decision-makers through other channels.</w:t>
      </w:r>
    </w:p>
    <w:p w14:paraId="2E5DC80E" w14:textId="77777777" w:rsidR="000A781C" w:rsidRDefault="004E710F">
      <w:pPr>
        <w:spacing w:after="120"/>
      </w:pPr>
      <w:r>
        <w:rPr>
          <w:rFonts w:ascii="Arial" w:eastAsia="Arial" w:hAnsi="Arial" w:cs="Arial"/>
          <w:b/>
          <w:bCs/>
          <w:color w:val="1F3F72"/>
          <w:sz w:val="24"/>
          <w:szCs w:val="24"/>
        </w:rPr>
        <w:t>Estimated Cost</w:t>
      </w:r>
    </w:p>
    <w:p w14:paraId="5ED07F33" w14:textId="77777777" w:rsidR="000A781C" w:rsidRDefault="004E710F">
      <w:pPr>
        <w:spacing w:after="160"/>
      </w:pPr>
      <w:r>
        <w:rPr>
          <w:rFonts w:ascii="Arial" w:eastAsia="Arial" w:hAnsi="Arial" w:cs="Arial"/>
          <w:sz w:val="22"/>
          <w:szCs w:val="22"/>
        </w:rPr>
        <w:t>A completed cost worksheet is attached with itemized estimates for registration, hotel, airfare, ground transportation, meals, and a business development allocation. Early Bird registration ($1,495) is available through August 21, 2026; the Advanced rate ($1,795) is available through October 2, 2026.</w:t>
      </w:r>
    </w:p>
    <w:p w14:paraId="7FACB79E" w14:textId="77777777" w:rsidR="000A781C" w:rsidRDefault="000A781C">
      <w:pPr>
        <w:spacing w:after="80"/>
      </w:pPr>
    </w:p>
    <w:p w14:paraId="200D1E6A" w14:textId="77777777" w:rsidR="000A781C" w:rsidRDefault="004E710F">
      <w:pPr>
        <w:spacing w:after="120"/>
      </w:pPr>
      <w:r>
        <w:rPr>
          <w:rFonts w:ascii="Arial" w:eastAsia="Arial" w:hAnsi="Arial" w:cs="Arial"/>
          <w:b/>
          <w:bCs/>
          <w:color w:val="1F3F72"/>
          <w:sz w:val="24"/>
          <w:szCs w:val="24"/>
        </w:rPr>
        <w:t>Debrief Commitment</w:t>
      </w:r>
    </w:p>
    <w:p w14:paraId="32547F48" w14:textId="77777777" w:rsidR="000A781C" w:rsidRDefault="004E710F">
      <w:pPr>
        <w:spacing w:after="160"/>
      </w:pPr>
      <w:r>
        <w:rPr>
          <w:rFonts w:ascii="Arial" w:eastAsia="Arial" w:hAnsi="Arial" w:cs="Arial"/>
          <w:sz w:val="22"/>
          <w:szCs w:val="22"/>
        </w:rPr>
        <w:t>Within five business days of returning, I will deliver a written debrief covering: (1) key contacts made and their relevance to our current pipeline; (2) deal structures and financing models of strategic interest; (3) market intelligence on project types, client priorities, and competitive dynamics; and (4) recommended follow-up actions.</w:t>
      </w:r>
    </w:p>
    <w:p w14:paraId="6EA3BE87" w14:textId="77777777" w:rsidR="000A781C" w:rsidRDefault="000A781C">
      <w:pPr>
        <w:spacing w:after="80"/>
      </w:pPr>
    </w:p>
    <w:p w14:paraId="1AD124ED" w14:textId="77777777" w:rsidR="000A781C" w:rsidRDefault="004E710F">
      <w:pPr>
        <w:spacing w:after="160"/>
      </w:pPr>
      <w:r>
        <w:rPr>
          <w:rFonts w:ascii="Arial" w:eastAsia="Arial" w:hAnsi="Arial" w:cs="Arial"/>
          <w:sz w:val="22"/>
          <w:szCs w:val="22"/>
        </w:rPr>
        <w:t>I am confident this conference will generate value well in excess of its cost. I am happy to discuss further.</w:t>
      </w:r>
    </w:p>
    <w:p w14:paraId="64825084" w14:textId="77777777" w:rsidR="000A781C" w:rsidRDefault="000A781C">
      <w:pPr>
        <w:spacing w:after="160"/>
      </w:pPr>
    </w:p>
    <w:p w14:paraId="7657CF89" w14:textId="77777777" w:rsidR="000A781C" w:rsidRDefault="004E710F">
      <w:pPr>
        <w:spacing w:after="400"/>
      </w:pPr>
      <w:r>
        <w:rPr>
          <w:rFonts w:ascii="Arial" w:eastAsia="Arial" w:hAnsi="Arial" w:cs="Arial"/>
          <w:sz w:val="22"/>
          <w:szCs w:val="22"/>
        </w:rPr>
        <w:t>Respectfully submitted,</w:t>
      </w:r>
    </w:p>
    <w:p w14:paraId="21C1B714" w14:textId="77777777" w:rsidR="000A781C" w:rsidRDefault="004E710F">
      <w:pPr>
        <w:spacing w:after="60"/>
      </w:pPr>
      <w:r>
        <w:rPr>
          <w:rFonts w:ascii="Arial" w:eastAsia="Arial" w:hAnsi="Arial" w:cs="Arial"/>
          <w:b/>
          <w:bCs/>
          <w:color w:val="EBB03C"/>
        </w:rPr>
        <w:t>[[Your Name]]</w:t>
      </w:r>
    </w:p>
    <w:p w14:paraId="1F993AEE" w14:textId="77777777" w:rsidR="000A781C" w:rsidRDefault="004E710F">
      <w:pPr>
        <w:spacing w:after="60"/>
      </w:pPr>
      <w:r>
        <w:rPr>
          <w:rFonts w:ascii="Arial" w:eastAsia="Arial" w:hAnsi="Arial" w:cs="Arial"/>
          <w:b/>
          <w:bCs/>
          <w:color w:val="EBB03C"/>
        </w:rPr>
        <w:t>[[Your Title]]</w:t>
      </w:r>
    </w:p>
    <w:p w14:paraId="54768CEF" w14:textId="77777777" w:rsidR="000A781C" w:rsidRDefault="004E710F">
      <w:pPr>
        <w:spacing w:after="60"/>
      </w:pPr>
      <w:r>
        <w:rPr>
          <w:rFonts w:ascii="Arial" w:eastAsia="Arial" w:hAnsi="Arial" w:cs="Arial"/>
          <w:b/>
          <w:bCs/>
          <w:color w:val="EBB03C"/>
        </w:rPr>
        <w:t>[[Firm / Organization Name]]</w:t>
      </w:r>
    </w:p>
    <w:p w14:paraId="630989CF" w14:textId="77777777" w:rsidR="000A781C" w:rsidRDefault="004E710F">
      <w:pPr>
        <w:spacing w:after="60"/>
      </w:pPr>
      <w:r>
        <w:rPr>
          <w:rFonts w:ascii="Arial" w:eastAsia="Arial" w:hAnsi="Arial" w:cs="Arial"/>
          <w:b/>
          <w:bCs/>
          <w:color w:val="EBB03C"/>
        </w:rPr>
        <w:t>[[Email Address]]</w:t>
      </w:r>
    </w:p>
    <w:p w14:paraId="7FF8B3FF" w14:textId="77777777" w:rsidR="000A781C" w:rsidRDefault="004E710F">
      <w:r>
        <w:rPr>
          <w:rFonts w:ascii="Arial" w:eastAsia="Arial" w:hAnsi="Arial" w:cs="Arial"/>
          <w:b/>
          <w:bCs/>
          <w:color w:val="EBB03C"/>
        </w:rPr>
        <w:t>[[Phone Number]]</w:t>
      </w:r>
    </w:p>
    <w:p w14:paraId="031E29C3" w14:textId="77777777" w:rsidR="000A781C" w:rsidRDefault="000A781C">
      <w:pPr>
        <w:pBdr>
          <w:bottom w:val="single" w:sz="6" w:space="1" w:color="1F3F72"/>
        </w:pBdr>
        <w:spacing w:after="160"/>
      </w:pPr>
    </w:p>
    <w:p w14:paraId="3734D583" w14:textId="46BB2198" w:rsidR="000A781C" w:rsidRPr="004E710F" w:rsidRDefault="004E710F">
      <w:pPr>
        <w:spacing w:before="80"/>
        <w:jc w:val="center"/>
        <w:rPr>
          <w:b/>
          <w:bCs/>
        </w:rPr>
      </w:pPr>
      <w:r w:rsidRPr="004E710F">
        <w:rPr>
          <w:rFonts w:ascii="Arial" w:eastAsia="Arial" w:hAnsi="Arial" w:cs="Arial"/>
          <w:b/>
          <w:bCs/>
          <w:i/>
          <w:iCs/>
          <w:color w:val="6B7280"/>
          <w:sz w:val="16"/>
          <w:szCs w:val="16"/>
        </w:rPr>
        <w:t xml:space="preserve">P3 Higher Education </w:t>
      </w:r>
      <w:proofErr w:type="gramStart"/>
      <w:r w:rsidRPr="004E710F">
        <w:rPr>
          <w:rFonts w:ascii="Arial" w:eastAsia="Arial" w:hAnsi="Arial" w:cs="Arial"/>
          <w:b/>
          <w:bCs/>
          <w:i/>
          <w:iCs/>
          <w:color w:val="6B7280"/>
          <w:sz w:val="16"/>
          <w:szCs w:val="16"/>
        </w:rPr>
        <w:t>Summit  ·</w:t>
      </w:r>
      <w:proofErr w:type="gramEnd"/>
      <w:r w:rsidRPr="004E710F">
        <w:rPr>
          <w:rFonts w:ascii="Arial" w:eastAsia="Arial" w:hAnsi="Arial" w:cs="Arial"/>
          <w:b/>
          <w:bCs/>
          <w:i/>
          <w:iCs/>
          <w:color w:val="6B7280"/>
          <w:sz w:val="16"/>
          <w:szCs w:val="16"/>
        </w:rPr>
        <w:t xml:space="preserve">  p3highereducation.com</w:t>
      </w:r>
    </w:p>
    <w:sectPr w:rsidR="000A781C" w:rsidRPr="004E710F" w:rsidSect="004E710F">
      <w:pgSz w:w="12240" w:h="15840"/>
      <w:pgMar w:top="1440" w:right="1080" w:bottom="144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560F8"/>
    <w:multiLevelType w:val="hybridMultilevel"/>
    <w:tmpl w:val="96DA9228"/>
    <w:lvl w:ilvl="0" w:tplc="AEFC8E12">
      <w:start w:val="1"/>
      <w:numFmt w:val="bullet"/>
      <w:lvlText w:val="●"/>
      <w:lvlJc w:val="left"/>
      <w:pPr>
        <w:ind w:left="720" w:hanging="360"/>
      </w:pPr>
    </w:lvl>
    <w:lvl w:ilvl="1" w:tplc="EDE06EDE">
      <w:start w:val="1"/>
      <w:numFmt w:val="bullet"/>
      <w:lvlText w:val="○"/>
      <w:lvlJc w:val="left"/>
      <w:pPr>
        <w:ind w:left="1440" w:hanging="360"/>
      </w:pPr>
    </w:lvl>
    <w:lvl w:ilvl="2" w:tplc="B8BC7DBE">
      <w:start w:val="1"/>
      <w:numFmt w:val="bullet"/>
      <w:lvlText w:val="■"/>
      <w:lvlJc w:val="left"/>
      <w:pPr>
        <w:ind w:left="2160" w:hanging="360"/>
      </w:pPr>
    </w:lvl>
    <w:lvl w:ilvl="3" w:tplc="53BCC816">
      <w:start w:val="1"/>
      <w:numFmt w:val="bullet"/>
      <w:lvlText w:val="●"/>
      <w:lvlJc w:val="left"/>
      <w:pPr>
        <w:ind w:left="2880" w:hanging="360"/>
      </w:pPr>
    </w:lvl>
    <w:lvl w:ilvl="4" w:tplc="A57AAEC6">
      <w:start w:val="1"/>
      <w:numFmt w:val="bullet"/>
      <w:lvlText w:val="○"/>
      <w:lvlJc w:val="left"/>
      <w:pPr>
        <w:ind w:left="3600" w:hanging="360"/>
      </w:pPr>
    </w:lvl>
    <w:lvl w:ilvl="5" w:tplc="6818D750">
      <w:start w:val="1"/>
      <w:numFmt w:val="bullet"/>
      <w:lvlText w:val="■"/>
      <w:lvlJc w:val="left"/>
      <w:pPr>
        <w:ind w:left="4320" w:hanging="360"/>
      </w:pPr>
    </w:lvl>
    <w:lvl w:ilvl="6" w:tplc="BA7CA6C6">
      <w:start w:val="1"/>
      <w:numFmt w:val="bullet"/>
      <w:lvlText w:val="●"/>
      <w:lvlJc w:val="left"/>
      <w:pPr>
        <w:ind w:left="5040" w:hanging="360"/>
      </w:pPr>
    </w:lvl>
    <w:lvl w:ilvl="7" w:tplc="7F30B4E8">
      <w:start w:val="1"/>
      <w:numFmt w:val="bullet"/>
      <w:lvlText w:val="●"/>
      <w:lvlJc w:val="left"/>
      <w:pPr>
        <w:ind w:left="5760" w:hanging="360"/>
      </w:pPr>
    </w:lvl>
    <w:lvl w:ilvl="8" w:tplc="AB1CD8E8">
      <w:start w:val="1"/>
      <w:numFmt w:val="bullet"/>
      <w:lvlText w:val="●"/>
      <w:lvlJc w:val="left"/>
      <w:pPr>
        <w:ind w:left="6480" w:hanging="360"/>
      </w:pPr>
    </w:lvl>
  </w:abstractNum>
  <w:num w:numId="1" w16cid:durableId="7453412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81C"/>
    <w:rsid w:val="000A781C"/>
    <w:rsid w:val="004E710F"/>
    <w:rsid w:val="00FC7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AED6E"/>
  <w15:docId w15:val="{2D21013E-9229-4F36-97AF-D064AFD9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628</Words>
  <Characters>3580</Characters>
  <Application>Microsoft Office Word</Application>
  <DocSecurity>0</DocSecurity>
  <Lines>29</Lines>
  <Paragraphs>8</Paragraphs>
  <ScaleCrop>false</ScaleCrop>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Beth Wagner</cp:lastModifiedBy>
  <cp:revision>2</cp:revision>
  <dcterms:created xsi:type="dcterms:W3CDTF">2026-06-24T19:22:00Z</dcterms:created>
  <dcterms:modified xsi:type="dcterms:W3CDTF">2026-06-24T19:22:00Z</dcterms:modified>
</cp:coreProperties>
</file>