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99A16" w14:textId="2154946F" w:rsidR="009469A3" w:rsidRDefault="009469A3">
      <w:pPr>
        <w:spacing w:after="80"/>
        <w:jc w:val="center"/>
        <w:rPr>
          <w:rFonts w:ascii="Arial" w:eastAsia="Arial" w:hAnsi="Arial" w:cs="Arial"/>
          <w:b/>
          <w:bCs/>
          <w:color w:val="1F3F72"/>
          <w:spacing w:val="40"/>
          <w:sz w:val="16"/>
          <w:szCs w:val="16"/>
        </w:rPr>
      </w:pPr>
      <w:r>
        <w:rPr>
          <w:rFonts w:ascii="Arial" w:eastAsia="Arial" w:hAnsi="Arial" w:cs="Arial"/>
          <w:b/>
          <w:bCs/>
          <w:noProof/>
          <w:color w:val="1F3F72"/>
          <w:spacing w:val="40"/>
          <w:sz w:val="16"/>
          <w:szCs w:val="16"/>
        </w:rPr>
        <w:drawing>
          <wp:inline distT="0" distB="0" distL="0" distR="0" wp14:anchorId="44CF1933" wp14:editId="754780C9">
            <wp:extent cx="3459480" cy="919373"/>
            <wp:effectExtent l="0" t="0" r="0" b="0"/>
            <wp:docPr id="615170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70627" name="Picture 615170627"/>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76554" cy="923911"/>
                    </a:xfrm>
                    <a:prstGeom prst="rect">
                      <a:avLst/>
                    </a:prstGeom>
                  </pic:spPr>
                </pic:pic>
              </a:graphicData>
            </a:graphic>
          </wp:inline>
        </w:drawing>
      </w:r>
    </w:p>
    <w:p w14:paraId="54570BF5" w14:textId="78C15E3F" w:rsidR="000C7137" w:rsidRDefault="009469A3">
      <w:pPr>
        <w:spacing w:after="80"/>
        <w:jc w:val="center"/>
      </w:pPr>
      <w:r>
        <w:rPr>
          <w:rFonts w:ascii="Arial" w:eastAsia="Arial" w:hAnsi="Arial" w:cs="Arial"/>
          <w:b/>
          <w:bCs/>
          <w:color w:val="1F3F72"/>
          <w:spacing w:val="40"/>
          <w:sz w:val="16"/>
          <w:szCs w:val="16"/>
        </w:rPr>
        <w:t xml:space="preserve"> NOVEMBER 4–6, </w:t>
      </w:r>
      <w:proofErr w:type="gramStart"/>
      <w:r>
        <w:rPr>
          <w:rFonts w:ascii="Arial" w:eastAsia="Arial" w:hAnsi="Arial" w:cs="Arial"/>
          <w:b/>
          <w:bCs/>
          <w:color w:val="1F3F72"/>
          <w:spacing w:val="40"/>
          <w:sz w:val="16"/>
          <w:szCs w:val="16"/>
        </w:rPr>
        <w:t>2026  ·</w:t>
      </w:r>
      <w:proofErr w:type="gramEnd"/>
      <w:r>
        <w:rPr>
          <w:rFonts w:ascii="Arial" w:eastAsia="Arial" w:hAnsi="Arial" w:cs="Arial"/>
          <w:b/>
          <w:bCs/>
          <w:color w:val="1F3F72"/>
          <w:spacing w:val="40"/>
          <w:sz w:val="16"/>
          <w:szCs w:val="16"/>
        </w:rPr>
        <w:t xml:space="preserve">  SAN DIEGO, CA</w:t>
      </w:r>
    </w:p>
    <w:p w14:paraId="2A728AC0" w14:textId="77777777" w:rsidR="000C7137" w:rsidRDefault="000C7137">
      <w:pPr>
        <w:pBdr>
          <w:bottom w:val="single" w:sz="6" w:space="1" w:color="1F3F72"/>
        </w:pBdr>
        <w:spacing w:after="160"/>
      </w:pPr>
    </w:p>
    <w:p w14:paraId="0741ABF0" w14:textId="77777777" w:rsidR="000C7137" w:rsidRDefault="009469A3">
      <w:pPr>
        <w:spacing w:after="240"/>
      </w:pPr>
      <w:r>
        <w:rPr>
          <w:rFonts w:ascii="Arial" w:eastAsia="Arial" w:hAnsi="Arial" w:cs="Arial"/>
          <w:b/>
          <w:bCs/>
          <w:color w:val="EBB03C"/>
        </w:rPr>
        <w:t>[[Date]]</w:t>
      </w:r>
    </w:p>
    <w:p w14:paraId="7D6DD4E6" w14:textId="283E336C" w:rsidR="000C7137" w:rsidRDefault="009469A3">
      <w:pPr>
        <w:spacing w:after="100"/>
      </w:pPr>
      <w:r>
        <w:rPr>
          <w:rFonts w:ascii="Arial" w:eastAsia="Arial" w:hAnsi="Arial" w:cs="Arial"/>
          <w:b/>
          <w:bCs/>
          <w:sz w:val="22"/>
          <w:szCs w:val="22"/>
        </w:rPr>
        <w:t xml:space="preserve">To:  </w:t>
      </w:r>
      <w:r>
        <w:rPr>
          <w:rFonts w:ascii="Arial" w:eastAsia="Arial" w:hAnsi="Arial" w:cs="Arial"/>
          <w:b/>
          <w:bCs/>
          <w:sz w:val="22"/>
          <w:szCs w:val="22"/>
        </w:rPr>
        <w:tab/>
      </w:r>
      <w:r>
        <w:rPr>
          <w:rFonts w:ascii="Arial" w:eastAsia="Arial" w:hAnsi="Arial" w:cs="Arial"/>
          <w:b/>
          <w:bCs/>
          <w:color w:val="EBB03C"/>
        </w:rPr>
        <w:t>[[Supervisor / Approving Authority Name and Title]]</w:t>
      </w:r>
    </w:p>
    <w:p w14:paraId="798D7D07" w14:textId="77777777" w:rsidR="000C7137" w:rsidRDefault="009469A3">
      <w:pPr>
        <w:spacing w:after="100"/>
      </w:pPr>
      <w:r>
        <w:rPr>
          <w:rFonts w:ascii="Arial" w:eastAsia="Arial" w:hAnsi="Arial" w:cs="Arial"/>
          <w:b/>
          <w:bCs/>
          <w:sz w:val="22"/>
          <w:szCs w:val="22"/>
        </w:rPr>
        <w:t>From</w:t>
      </w:r>
      <w:proofErr w:type="gramStart"/>
      <w:r>
        <w:rPr>
          <w:rFonts w:ascii="Arial" w:eastAsia="Arial" w:hAnsi="Arial" w:cs="Arial"/>
          <w:b/>
          <w:bCs/>
          <w:sz w:val="22"/>
          <w:szCs w:val="22"/>
        </w:rPr>
        <w:t xml:space="preserve">:  </w:t>
      </w:r>
      <w:r>
        <w:rPr>
          <w:rFonts w:ascii="Arial" w:eastAsia="Arial" w:hAnsi="Arial" w:cs="Arial"/>
          <w:b/>
          <w:bCs/>
          <w:color w:val="EBB03C"/>
        </w:rPr>
        <w:t>[</w:t>
      </w:r>
      <w:proofErr w:type="gramEnd"/>
      <w:r>
        <w:rPr>
          <w:rFonts w:ascii="Arial" w:eastAsia="Arial" w:hAnsi="Arial" w:cs="Arial"/>
          <w:b/>
          <w:bCs/>
          <w:color w:val="EBB03C"/>
        </w:rPr>
        <w:t>[Your Name, Title]]</w:t>
      </w:r>
    </w:p>
    <w:p w14:paraId="440270F3" w14:textId="77777777" w:rsidR="000C7137" w:rsidRDefault="009469A3">
      <w:pPr>
        <w:spacing w:after="240"/>
      </w:pPr>
      <w:r>
        <w:rPr>
          <w:rFonts w:ascii="Arial" w:eastAsia="Arial" w:hAnsi="Arial" w:cs="Arial"/>
          <w:b/>
          <w:bCs/>
          <w:sz w:val="22"/>
          <w:szCs w:val="22"/>
        </w:rPr>
        <w:t xml:space="preserve">Re:  </w:t>
      </w:r>
      <w:r>
        <w:rPr>
          <w:rFonts w:ascii="Arial" w:eastAsia="Arial" w:hAnsi="Arial" w:cs="Arial"/>
          <w:sz w:val="22"/>
          <w:szCs w:val="22"/>
        </w:rPr>
        <w:t>Request for Approval to Attend the P3 Higher Education Summit, November 4–6, 2026, San Diego, CA</w:t>
      </w:r>
    </w:p>
    <w:p w14:paraId="2CB3FA69" w14:textId="77777777" w:rsidR="000C7137" w:rsidRDefault="000C7137">
      <w:pPr>
        <w:pBdr>
          <w:bottom w:val="single" w:sz="6" w:space="1" w:color="1F3F72"/>
        </w:pBdr>
        <w:spacing w:after="160"/>
      </w:pPr>
    </w:p>
    <w:p w14:paraId="0F9A69B6" w14:textId="77777777" w:rsidR="000C7137" w:rsidRDefault="009469A3">
      <w:pPr>
        <w:spacing w:after="160"/>
      </w:pPr>
      <w:r>
        <w:rPr>
          <w:rFonts w:ascii="Arial" w:eastAsia="Arial" w:hAnsi="Arial" w:cs="Arial"/>
          <w:sz w:val="22"/>
          <w:szCs w:val="22"/>
        </w:rPr>
        <w:t>I am writing to request approval to attend the P3 Higher Education Summit, scheduled for November 4–6, 2026 at the Manchester Grand Hyatt in San Diego, California. This is the premier national conference focused on public-private partnership (P3) delivery of campus infrastructure — including student housing, energy and utilities, athletics, academic facilities, and mixed-use development.</w:t>
      </w:r>
    </w:p>
    <w:p w14:paraId="7E2CC137" w14:textId="77777777" w:rsidR="000C7137" w:rsidRDefault="009469A3">
      <w:pPr>
        <w:spacing w:after="160"/>
      </w:pPr>
      <w:r>
        <w:rPr>
          <w:rFonts w:ascii="Arial" w:eastAsia="Arial" w:hAnsi="Arial" w:cs="Arial"/>
          <w:sz w:val="22"/>
          <w:szCs w:val="22"/>
        </w:rPr>
        <w:t xml:space="preserve">Attendance is directly relevant to my responsibilities at </w:t>
      </w:r>
      <w:r>
        <w:rPr>
          <w:rFonts w:ascii="Arial" w:eastAsia="Arial" w:hAnsi="Arial" w:cs="Arial"/>
          <w:b/>
          <w:bCs/>
          <w:color w:val="EBB03C"/>
        </w:rPr>
        <w:t>[[Institution Name]]</w:t>
      </w:r>
      <w:r>
        <w:rPr>
          <w:rFonts w:ascii="Arial" w:eastAsia="Arial" w:hAnsi="Arial" w:cs="Arial"/>
          <w:sz w:val="22"/>
          <w:szCs w:val="22"/>
        </w:rPr>
        <w:t xml:space="preserve">, particularly in connection with our work on </w:t>
      </w:r>
      <w:r>
        <w:rPr>
          <w:rFonts w:ascii="Arial" w:eastAsia="Arial" w:hAnsi="Arial" w:cs="Arial"/>
          <w:b/>
          <w:bCs/>
          <w:color w:val="EBB03C"/>
        </w:rPr>
        <w:t>[[describe relevant project, initiative, or area of responsibility]]</w:t>
      </w:r>
      <w:r>
        <w:rPr>
          <w:rFonts w:ascii="Arial" w:eastAsia="Arial" w:hAnsi="Arial" w:cs="Arial"/>
          <w:sz w:val="22"/>
          <w:szCs w:val="22"/>
        </w:rPr>
        <w:t>.</w:t>
      </w:r>
    </w:p>
    <w:p w14:paraId="15FD5830" w14:textId="77777777" w:rsidR="000C7137" w:rsidRDefault="000C7137">
      <w:pPr>
        <w:spacing w:after="120"/>
      </w:pPr>
    </w:p>
    <w:p w14:paraId="332CF0FF" w14:textId="77777777" w:rsidR="000C7137" w:rsidRDefault="009469A3">
      <w:pPr>
        <w:spacing w:after="120"/>
      </w:pPr>
      <w:r>
        <w:rPr>
          <w:rFonts w:ascii="Arial" w:eastAsia="Arial" w:hAnsi="Arial" w:cs="Arial"/>
          <w:b/>
          <w:bCs/>
          <w:color w:val="1F3F72"/>
          <w:sz w:val="24"/>
          <w:szCs w:val="24"/>
        </w:rPr>
        <w:t>What I Will Gain</w:t>
      </w:r>
    </w:p>
    <w:p w14:paraId="5E262C05" w14:textId="77777777" w:rsidR="000C7137" w:rsidRDefault="009469A3">
      <w:pPr>
        <w:spacing w:after="160"/>
      </w:pPr>
      <w:r>
        <w:rPr>
          <w:rFonts w:ascii="Arial" w:eastAsia="Arial" w:hAnsi="Arial" w:cs="Arial"/>
          <w:sz w:val="22"/>
          <w:szCs w:val="22"/>
        </w:rPr>
        <w:t>The Summit brings together 500+ higher education administrators and private sector partners across 2.5 days of focused programming, peer-led sessions, and structured networking. Specific benefits include:</w:t>
      </w:r>
    </w:p>
    <w:p w14:paraId="79739D4C" w14:textId="77777777" w:rsidR="000C7137" w:rsidRDefault="009469A3">
      <w:pPr>
        <w:spacing w:before="60" w:after="100"/>
        <w:ind w:left="360"/>
      </w:pPr>
      <w:r>
        <w:rPr>
          <w:rFonts w:ascii="Arial" w:eastAsia="Arial" w:hAnsi="Arial" w:cs="Arial"/>
          <w:b/>
          <w:bCs/>
          <w:sz w:val="22"/>
          <w:szCs w:val="22"/>
        </w:rPr>
        <w:t>Peer-driven P3 education.</w:t>
      </w:r>
      <w:r>
        <w:rPr>
          <w:rFonts w:ascii="Arial" w:eastAsia="Arial" w:hAnsi="Arial" w:cs="Arial"/>
          <w:sz w:val="22"/>
          <w:szCs w:val="22"/>
        </w:rPr>
        <w:t xml:space="preserve">  Sessions led by university CFOs, VPs for Facilities, and real estate executives at institutions that have completed P3 transactions — sharing deal structures, risk allocation frameworks, and lessons learned.</w:t>
      </w:r>
    </w:p>
    <w:p w14:paraId="63665283" w14:textId="77777777" w:rsidR="000C7137" w:rsidRDefault="009469A3">
      <w:pPr>
        <w:spacing w:after="100"/>
        <w:ind w:left="360"/>
      </w:pPr>
      <w:r>
        <w:rPr>
          <w:rFonts w:ascii="Arial" w:eastAsia="Arial" w:hAnsi="Arial" w:cs="Arial"/>
          <w:b/>
          <w:bCs/>
          <w:sz w:val="22"/>
          <w:szCs w:val="22"/>
        </w:rPr>
        <w:t>Procurement strategy.</w:t>
      </w:r>
      <w:r>
        <w:rPr>
          <w:rFonts w:ascii="Arial" w:eastAsia="Arial" w:hAnsi="Arial" w:cs="Arial"/>
          <w:sz w:val="22"/>
          <w:szCs w:val="22"/>
        </w:rPr>
        <w:t xml:space="preserve">  Practical frameworks for evaluating P3 delivery, structuring RFPs, and selecting qualified private partners — directly applicable to our work on </w:t>
      </w:r>
      <w:r>
        <w:rPr>
          <w:rFonts w:ascii="Arial" w:eastAsia="Arial" w:hAnsi="Arial" w:cs="Arial"/>
          <w:b/>
          <w:bCs/>
          <w:color w:val="EBB03C"/>
        </w:rPr>
        <w:t>[[project or initiative]]</w:t>
      </w:r>
      <w:r>
        <w:rPr>
          <w:rFonts w:ascii="Arial" w:eastAsia="Arial" w:hAnsi="Arial" w:cs="Arial"/>
          <w:sz w:val="22"/>
          <w:szCs w:val="22"/>
        </w:rPr>
        <w:t>.</w:t>
      </w:r>
    </w:p>
    <w:p w14:paraId="677846A0" w14:textId="77777777" w:rsidR="000C7137" w:rsidRDefault="009469A3">
      <w:pPr>
        <w:spacing w:after="100"/>
        <w:ind w:left="360"/>
      </w:pPr>
      <w:r>
        <w:rPr>
          <w:rFonts w:ascii="Arial" w:eastAsia="Arial" w:hAnsi="Arial" w:cs="Arial"/>
          <w:b/>
          <w:bCs/>
          <w:sz w:val="22"/>
          <w:szCs w:val="22"/>
        </w:rPr>
        <w:t>Three focused content tracks.</w:t>
      </w:r>
      <w:r>
        <w:rPr>
          <w:rFonts w:ascii="Arial" w:eastAsia="Arial" w:hAnsi="Arial" w:cs="Arial"/>
          <w:sz w:val="22"/>
          <w:szCs w:val="22"/>
        </w:rPr>
        <w:t xml:space="preserve">  Housing; Campus Infrastructure (energy, utilities, decarbonization); and Transforming the Campus Footprint (academic facilities, athletics, campus-edge development, multi-asset delivery).</w:t>
      </w:r>
    </w:p>
    <w:p w14:paraId="0C3A5C91" w14:textId="77777777" w:rsidR="000C7137" w:rsidRDefault="009469A3">
      <w:pPr>
        <w:spacing w:after="100"/>
        <w:ind w:left="360"/>
      </w:pPr>
      <w:r>
        <w:rPr>
          <w:rFonts w:ascii="Arial" w:eastAsia="Arial" w:hAnsi="Arial" w:cs="Arial"/>
          <w:b/>
          <w:bCs/>
          <w:sz w:val="22"/>
          <w:szCs w:val="22"/>
        </w:rPr>
        <w:t>Direct access to partners.</w:t>
      </w:r>
      <w:r>
        <w:rPr>
          <w:rFonts w:ascii="Arial" w:eastAsia="Arial" w:hAnsi="Arial" w:cs="Arial"/>
          <w:sz w:val="22"/>
          <w:szCs w:val="22"/>
        </w:rPr>
        <w:t xml:space="preserve">  Pre-scheduled 1-on-1 meetings via the conference mobile app with developers, legal advisers, and capital partners active in the higher education market.</w:t>
      </w:r>
    </w:p>
    <w:p w14:paraId="35FDE47E" w14:textId="77777777" w:rsidR="000C7137" w:rsidRDefault="009469A3">
      <w:pPr>
        <w:spacing w:after="240"/>
        <w:ind w:left="360"/>
      </w:pPr>
      <w:r>
        <w:rPr>
          <w:rFonts w:ascii="Arial" w:eastAsia="Arial" w:hAnsi="Arial" w:cs="Arial"/>
          <w:b/>
          <w:bCs/>
          <w:sz w:val="22"/>
          <w:szCs w:val="22"/>
        </w:rPr>
        <w:t>Institutional intelligence.</w:t>
      </w:r>
      <w:r>
        <w:rPr>
          <w:rFonts w:ascii="Arial" w:eastAsia="Arial" w:hAnsi="Arial" w:cs="Arial"/>
          <w:sz w:val="22"/>
          <w:szCs w:val="22"/>
        </w:rPr>
        <w:t xml:space="preserve">  Competitive insight into how peer institutions are financing and delivering major capital projects — and what approaches are gaining traction nationally.</w:t>
      </w:r>
    </w:p>
    <w:p w14:paraId="683389FE" w14:textId="78930960" w:rsidR="000C7137" w:rsidRDefault="009469A3">
      <w:pPr>
        <w:spacing w:after="120"/>
      </w:pPr>
      <w:r>
        <w:rPr>
          <w:rFonts w:ascii="Arial" w:eastAsia="Arial" w:hAnsi="Arial" w:cs="Arial"/>
          <w:b/>
          <w:bCs/>
          <w:color w:val="1F3F72"/>
          <w:sz w:val="24"/>
          <w:szCs w:val="24"/>
        </w:rPr>
        <w:t>Sessions Relevant to Our Work</w:t>
      </w:r>
    </w:p>
    <w:p w14:paraId="1C41B569" w14:textId="77777777" w:rsidR="000C7137" w:rsidRDefault="009469A3">
      <w:pPr>
        <w:spacing w:after="240"/>
      </w:pPr>
      <w:r>
        <w:rPr>
          <w:rFonts w:ascii="Arial" w:eastAsia="Arial" w:hAnsi="Arial" w:cs="Arial"/>
          <w:sz w:val="22"/>
          <w:szCs w:val="22"/>
        </w:rPr>
        <w:t xml:space="preserve">Based on the current agenda, I plan to prioritize sessions on </w:t>
      </w:r>
      <w:r>
        <w:rPr>
          <w:rFonts w:ascii="Arial" w:eastAsia="Arial" w:hAnsi="Arial" w:cs="Arial"/>
          <w:b/>
          <w:bCs/>
          <w:color w:val="EBB03C"/>
        </w:rPr>
        <w:t>[[list 2–3 specific session topics or tracks most relevant to your role]]</w:t>
      </w:r>
      <w:r>
        <w:rPr>
          <w:rFonts w:ascii="Arial" w:eastAsia="Arial" w:hAnsi="Arial" w:cs="Arial"/>
          <w:sz w:val="22"/>
          <w:szCs w:val="22"/>
        </w:rPr>
        <w:t xml:space="preserve">. These sessions directly address our institution's current questions around </w:t>
      </w:r>
      <w:r>
        <w:rPr>
          <w:rFonts w:ascii="Arial" w:eastAsia="Arial" w:hAnsi="Arial" w:cs="Arial"/>
          <w:b/>
          <w:bCs/>
          <w:color w:val="EBB03C"/>
        </w:rPr>
        <w:t>[[describe institutional priority or challenge]]</w:t>
      </w:r>
      <w:r>
        <w:rPr>
          <w:rFonts w:ascii="Arial" w:eastAsia="Arial" w:hAnsi="Arial" w:cs="Arial"/>
          <w:sz w:val="22"/>
          <w:szCs w:val="22"/>
        </w:rPr>
        <w:t>.</w:t>
      </w:r>
    </w:p>
    <w:p w14:paraId="1FD93259" w14:textId="77777777" w:rsidR="000C7137" w:rsidRDefault="009469A3">
      <w:pPr>
        <w:spacing w:after="120"/>
      </w:pPr>
      <w:r>
        <w:rPr>
          <w:rFonts w:ascii="Arial" w:eastAsia="Arial" w:hAnsi="Arial" w:cs="Arial"/>
          <w:b/>
          <w:bCs/>
          <w:color w:val="1F3F72"/>
          <w:sz w:val="24"/>
          <w:szCs w:val="24"/>
        </w:rPr>
        <w:lastRenderedPageBreak/>
        <w:t>Estimated Cost</w:t>
      </w:r>
    </w:p>
    <w:p w14:paraId="6A6D3275" w14:textId="77777777" w:rsidR="000C7137" w:rsidRDefault="009469A3">
      <w:pPr>
        <w:spacing w:after="160"/>
      </w:pPr>
      <w:r>
        <w:rPr>
          <w:rFonts w:ascii="Arial" w:eastAsia="Arial" w:hAnsi="Arial" w:cs="Arial"/>
          <w:sz w:val="22"/>
          <w:szCs w:val="22"/>
        </w:rPr>
        <w:t>A completed cost worksheet is attached. The university registration rate is significantly discounted in recognition of public sector and academic budget constraints. Estimated total trip cost is detailed in the attached worksheet.</w:t>
      </w:r>
    </w:p>
    <w:p w14:paraId="7A35A032" w14:textId="77777777" w:rsidR="000C7137" w:rsidRDefault="000C7137">
      <w:pPr>
        <w:spacing w:after="80"/>
      </w:pPr>
    </w:p>
    <w:p w14:paraId="764F9B5E" w14:textId="77777777" w:rsidR="000C7137" w:rsidRDefault="009469A3">
      <w:pPr>
        <w:spacing w:after="120"/>
      </w:pPr>
      <w:r>
        <w:rPr>
          <w:rFonts w:ascii="Arial" w:eastAsia="Arial" w:hAnsi="Arial" w:cs="Arial"/>
          <w:b/>
          <w:bCs/>
          <w:color w:val="1F3F72"/>
          <w:sz w:val="24"/>
          <w:szCs w:val="24"/>
        </w:rPr>
        <w:t>Debrief Commitment</w:t>
      </w:r>
    </w:p>
    <w:p w14:paraId="67085311" w14:textId="77777777" w:rsidR="000C7137" w:rsidRDefault="009469A3">
      <w:pPr>
        <w:spacing w:after="160"/>
      </w:pPr>
      <w:r>
        <w:rPr>
          <w:rFonts w:ascii="Arial" w:eastAsia="Arial" w:hAnsi="Arial" w:cs="Arial"/>
          <w:sz w:val="22"/>
          <w:szCs w:val="22"/>
        </w:rPr>
        <w:t>Upon returning, I commit to delivering a written debrief to leadership within five business days. The debrief will cover: (1) key takeaways from sessions attended; (2) deal structures and financing models relevant to our current or planned projects; (3) contacts made with developers, advisers, and peer institutions; and (4) recommended next steps based on what I learn.</w:t>
      </w:r>
    </w:p>
    <w:p w14:paraId="45679EFF" w14:textId="77777777" w:rsidR="000C7137" w:rsidRDefault="000C7137">
      <w:pPr>
        <w:spacing w:after="80"/>
      </w:pPr>
    </w:p>
    <w:p w14:paraId="334B8516" w14:textId="77777777" w:rsidR="000C7137" w:rsidRDefault="009469A3">
      <w:pPr>
        <w:spacing w:after="160"/>
      </w:pPr>
      <w:r>
        <w:rPr>
          <w:rFonts w:ascii="Arial" w:eastAsia="Arial" w:hAnsi="Arial" w:cs="Arial"/>
          <w:sz w:val="22"/>
          <w:szCs w:val="22"/>
        </w:rPr>
        <w:t>I believe this conference represents a high-value, low-cost professional development opportunity with direct application to our institution's capital planning priorities. I am happy to discuss further.</w:t>
      </w:r>
    </w:p>
    <w:p w14:paraId="733D7EC5" w14:textId="77777777" w:rsidR="000C7137" w:rsidRDefault="000C7137">
      <w:pPr>
        <w:spacing w:after="160"/>
      </w:pPr>
    </w:p>
    <w:p w14:paraId="19354D58" w14:textId="77777777" w:rsidR="000C7137" w:rsidRDefault="009469A3">
      <w:pPr>
        <w:spacing w:after="400"/>
      </w:pPr>
      <w:r>
        <w:rPr>
          <w:rFonts w:ascii="Arial" w:eastAsia="Arial" w:hAnsi="Arial" w:cs="Arial"/>
          <w:sz w:val="22"/>
          <w:szCs w:val="22"/>
        </w:rPr>
        <w:t>Respectfully submitted,</w:t>
      </w:r>
    </w:p>
    <w:p w14:paraId="2CE4F386" w14:textId="77777777" w:rsidR="000C7137" w:rsidRDefault="009469A3">
      <w:pPr>
        <w:spacing w:after="60"/>
      </w:pPr>
      <w:r>
        <w:rPr>
          <w:rFonts w:ascii="Arial" w:eastAsia="Arial" w:hAnsi="Arial" w:cs="Arial"/>
          <w:b/>
          <w:bCs/>
          <w:color w:val="EBB03C"/>
        </w:rPr>
        <w:t>[[Your Name]]</w:t>
      </w:r>
    </w:p>
    <w:p w14:paraId="665F2B40" w14:textId="77777777" w:rsidR="000C7137" w:rsidRDefault="009469A3">
      <w:pPr>
        <w:spacing w:after="60"/>
      </w:pPr>
      <w:r>
        <w:rPr>
          <w:rFonts w:ascii="Arial" w:eastAsia="Arial" w:hAnsi="Arial" w:cs="Arial"/>
          <w:b/>
          <w:bCs/>
          <w:color w:val="EBB03C"/>
        </w:rPr>
        <w:t>[[Your Title]]</w:t>
      </w:r>
    </w:p>
    <w:p w14:paraId="6C0B32B4" w14:textId="77777777" w:rsidR="000C7137" w:rsidRDefault="009469A3">
      <w:pPr>
        <w:spacing w:after="60"/>
      </w:pPr>
      <w:r>
        <w:rPr>
          <w:rFonts w:ascii="Arial" w:eastAsia="Arial" w:hAnsi="Arial" w:cs="Arial"/>
          <w:b/>
          <w:bCs/>
          <w:color w:val="EBB03C"/>
        </w:rPr>
        <w:t>[[Institution Name]]</w:t>
      </w:r>
    </w:p>
    <w:p w14:paraId="04A51848" w14:textId="77777777" w:rsidR="000C7137" w:rsidRDefault="009469A3">
      <w:pPr>
        <w:spacing w:after="60"/>
      </w:pPr>
      <w:r>
        <w:rPr>
          <w:rFonts w:ascii="Arial" w:eastAsia="Arial" w:hAnsi="Arial" w:cs="Arial"/>
          <w:b/>
          <w:bCs/>
          <w:color w:val="EBB03C"/>
        </w:rPr>
        <w:t>[[Email Address]]</w:t>
      </w:r>
    </w:p>
    <w:p w14:paraId="4CA1436B" w14:textId="77777777" w:rsidR="000C7137" w:rsidRDefault="009469A3">
      <w:r>
        <w:rPr>
          <w:rFonts w:ascii="Arial" w:eastAsia="Arial" w:hAnsi="Arial" w:cs="Arial"/>
          <w:b/>
          <w:bCs/>
          <w:color w:val="EBB03C"/>
        </w:rPr>
        <w:t>[[Phone Number]]</w:t>
      </w:r>
    </w:p>
    <w:p w14:paraId="61A441BA" w14:textId="77777777" w:rsidR="000C7137" w:rsidRDefault="000C7137">
      <w:pPr>
        <w:pBdr>
          <w:bottom w:val="single" w:sz="6" w:space="1" w:color="1F3F72"/>
        </w:pBdr>
        <w:spacing w:after="160"/>
      </w:pPr>
    </w:p>
    <w:p w14:paraId="757A5EF3" w14:textId="72A1120B" w:rsidR="000C7137" w:rsidRPr="009469A3" w:rsidRDefault="009469A3">
      <w:pPr>
        <w:spacing w:before="80"/>
        <w:jc w:val="center"/>
        <w:rPr>
          <w:b/>
          <w:bCs/>
        </w:rPr>
      </w:pPr>
      <w:r w:rsidRPr="009469A3">
        <w:rPr>
          <w:rFonts w:ascii="Arial" w:eastAsia="Arial" w:hAnsi="Arial" w:cs="Arial"/>
          <w:b/>
          <w:bCs/>
          <w:i/>
          <w:iCs/>
          <w:color w:val="6B7280"/>
          <w:sz w:val="16"/>
          <w:szCs w:val="16"/>
        </w:rPr>
        <w:t xml:space="preserve">P3 Higher Education </w:t>
      </w:r>
      <w:proofErr w:type="gramStart"/>
      <w:r w:rsidRPr="009469A3">
        <w:rPr>
          <w:rFonts w:ascii="Arial" w:eastAsia="Arial" w:hAnsi="Arial" w:cs="Arial"/>
          <w:b/>
          <w:bCs/>
          <w:i/>
          <w:iCs/>
          <w:color w:val="6B7280"/>
          <w:sz w:val="16"/>
          <w:szCs w:val="16"/>
        </w:rPr>
        <w:t>Summit  ·</w:t>
      </w:r>
      <w:proofErr w:type="gramEnd"/>
      <w:r w:rsidRPr="009469A3">
        <w:rPr>
          <w:rFonts w:ascii="Arial" w:eastAsia="Arial" w:hAnsi="Arial" w:cs="Arial"/>
          <w:b/>
          <w:bCs/>
          <w:i/>
          <w:iCs/>
          <w:color w:val="6B7280"/>
          <w:sz w:val="16"/>
          <w:szCs w:val="16"/>
        </w:rPr>
        <w:t xml:space="preserve">  p3highereducation.com  </w:t>
      </w:r>
    </w:p>
    <w:sectPr w:rsidR="000C7137" w:rsidRPr="009469A3" w:rsidSect="009469A3">
      <w:pgSz w:w="12240" w:h="15840"/>
      <w:pgMar w:top="1440" w:right="1080" w:bottom="144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24DD4"/>
    <w:multiLevelType w:val="hybridMultilevel"/>
    <w:tmpl w:val="048A968C"/>
    <w:lvl w:ilvl="0" w:tplc="11BA8410">
      <w:start w:val="1"/>
      <w:numFmt w:val="bullet"/>
      <w:lvlText w:val="●"/>
      <w:lvlJc w:val="left"/>
      <w:pPr>
        <w:ind w:left="720" w:hanging="360"/>
      </w:pPr>
    </w:lvl>
    <w:lvl w:ilvl="1" w:tplc="CF1E3394">
      <w:start w:val="1"/>
      <w:numFmt w:val="bullet"/>
      <w:lvlText w:val="○"/>
      <w:lvlJc w:val="left"/>
      <w:pPr>
        <w:ind w:left="1440" w:hanging="360"/>
      </w:pPr>
    </w:lvl>
    <w:lvl w:ilvl="2" w:tplc="4010058A">
      <w:start w:val="1"/>
      <w:numFmt w:val="bullet"/>
      <w:lvlText w:val="■"/>
      <w:lvlJc w:val="left"/>
      <w:pPr>
        <w:ind w:left="2160" w:hanging="360"/>
      </w:pPr>
    </w:lvl>
    <w:lvl w:ilvl="3" w:tplc="FDEAB656">
      <w:start w:val="1"/>
      <w:numFmt w:val="bullet"/>
      <w:lvlText w:val="●"/>
      <w:lvlJc w:val="left"/>
      <w:pPr>
        <w:ind w:left="2880" w:hanging="360"/>
      </w:pPr>
    </w:lvl>
    <w:lvl w:ilvl="4" w:tplc="B69ABF7A">
      <w:start w:val="1"/>
      <w:numFmt w:val="bullet"/>
      <w:lvlText w:val="○"/>
      <w:lvlJc w:val="left"/>
      <w:pPr>
        <w:ind w:left="3600" w:hanging="360"/>
      </w:pPr>
    </w:lvl>
    <w:lvl w:ilvl="5" w:tplc="3A485568">
      <w:start w:val="1"/>
      <w:numFmt w:val="bullet"/>
      <w:lvlText w:val="■"/>
      <w:lvlJc w:val="left"/>
      <w:pPr>
        <w:ind w:left="4320" w:hanging="360"/>
      </w:pPr>
    </w:lvl>
    <w:lvl w:ilvl="6" w:tplc="DD547312">
      <w:start w:val="1"/>
      <w:numFmt w:val="bullet"/>
      <w:lvlText w:val="●"/>
      <w:lvlJc w:val="left"/>
      <w:pPr>
        <w:ind w:left="5040" w:hanging="360"/>
      </w:pPr>
    </w:lvl>
    <w:lvl w:ilvl="7" w:tplc="18409AB8">
      <w:start w:val="1"/>
      <w:numFmt w:val="bullet"/>
      <w:lvlText w:val="●"/>
      <w:lvlJc w:val="left"/>
      <w:pPr>
        <w:ind w:left="5760" w:hanging="360"/>
      </w:pPr>
    </w:lvl>
    <w:lvl w:ilvl="8" w:tplc="323A3442">
      <w:start w:val="1"/>
      <w:numFmt w:val="bullet"/>
      <w:lvlText w:val="●"/>
      <w:lvlJc w:val="left"/>
      <w:pPr>
        <w:ind w:left="6480" w:hanging="360"/>
      </w:pPr>
    </w:lvl>
  </w:abstractNum>
  <w:num w:numId="1" w16cid:durableId="14715542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137"/>
    <w:rsid w:val="000C7137"/>
    <w:rsid w:val="009469A3"/>
    <w:rsid w:val="00FC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E15C"/>
  <w15:docId w15:val="{2D21013E-9229-4F36-97AF-D064AFD9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Beth Wagner</cp:lastModifiedBy>
  <cp:revision>2</cp:revision>
  <dcterms:created xsi:type="dcterms:W3CDTF">2026-06-24T19:28:00Z</dcterms:created>
  <dcterms:modified xsi:type="dcterms:W3CDTF">2026-06-24T19:28:00Z</dcterms:modified>
</cp:coreProperties>
</file>